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33EBE" w14:textId="4ACD7BE6" w:rsidR="0015461B" w:rsidRDefault="0015461B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15461B" w14:paraId="4A3444A3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01ACCF2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BFCE227" wp14:editId="3F7CDE97">
                  <wp:extent cx="720000" cy="7200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F355C85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h5a1gg5bo3wx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CRC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D2B36DA" w14:textId="77777777" w:rsidR="0015461B" w:rsidRDefault="00E758EE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4741A54" wp14:editId="6522C954">
                  <wp:extent cx="341097" cy="3410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DE42F8D" w14:textId="77777777" w:rsidR="0015461B" w:rsidRDefault="00E758E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15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600EC59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bhlttxx7669q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USA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C77C7AE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029279EE" wp14:editId="485C4DD7">
                  <wp:extent cx="720000" cy="72000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61B" w14:paraId="666304B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23A06BE" w14:textId="77777777" w:rsidR="0015461B" w:rsidRDefault="0015461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7218596" w14:textId="77777777" w:rsidR="0015461B" w:rsidRDefault="0015461B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C0E87CE" w14:textId="77777777" w:rsidR="0015461B" w:rsidRDefault="00E758EE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8231BA9" wp14:editId="15E8D1C1">
                  <wp:extent cx="354873" cy="35487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47CF281" w14:textId="2AA9D73B" w:rsidR="0015461B" w:rsidRDefault="00E758EE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 PM </w:t>
            </w:r>
            <w:r w:rsidR="00B378D1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87024B1" w14:textId="77777777" w:rsidR="0015461B" w:rsidRDefault="0015461B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13C6E5E" w14:textId="77777777" w:rsidR="0015461B" w:rsidRDefault="0015461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15461B" w14:paraId="0641E801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FB8778E" w14:textId="40129FE9" w:rsidR="0015461B" w:rsidRDefault="00B378D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SANTOS DE GUÁPILES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62CF80B0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ov96gavvehja" w:colFirst="0" w:colLast="0"/>
            <w:bookmarkEnd w:id="4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1FC384CC" wp14:editId="2ACA5BFB">
                  <wp:extent cx="360000" cy="360000"/>
                  <wp:effectExtent l="0" t="0" r="0" b="0"/>
                  <wp:docPr id="7" name="image7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Flag of Costa Rica - Roun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8D4C0" w14:textId="77777777" w:rsidR="0015461B" w:rsidRDefault="00E758EE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03765CE" wp14:editId="58495D76">
                  <wp:extent cx="407103" cy="407103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6AA69" w14:textId="77777777" w:rsidR="0015461B" w:rsidRPr="00C72C0C" w:rsidRDefault="00E758EE">
            <w:pPr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National Stadium of Costa Rica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8D43DC2" w14:textId="77777777" w:rsidR="0015461B" w:rsidRDefault="00E758EE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kqxc5157eh9k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1193589A" wp14:editId="5CBAD287">
                  <wp:extent cx="360000" cy="360000"/>
                  <wp:effectExtent l="0" t="0" r="0" b="0"/>
                  <wp:docPr id="3" name="image4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1521D7C" w14:textId="77777777" w:rsidR="0015461B" w:rsidRDefault="00E758E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  <w:lang w:val="en"/>
              </w:rPr>
              <w:t>NEW YORK CITY FC</w:t>
            </w:r>
          </w:p>
        </w:tc>
      </w:tr>
      <w:tr w:rsidR="0015461B" w:rsidRPr="00C72C0C" w14:paraId="02B0144A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296E2C8E" w14:textId="77777777" w:rsidR="0015461B" w:rsidRPr="005726CF" w:rsidRDefault="00E758EE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5726CF">
              <w:rPr>
                <w:color w:val="FFFFFF"/>
                <w:sz w:val="24"/>
                <w:szCs w:val="24"/>
                <w:lang w:val="en"/>
              </w:rPr>
              <w:t xml:space="preserve">ROUND OF 16 - WEEK 1 - </w:t>
            </w:r>
            <w:r w:rsidRPr="005726CF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3807000C" w14:textId="77777777" w:rsidR="0015461B" w:rsidRPr="005726CF" w:rsidRDefault="0015461B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15461B" w14:paraId="4513D4FF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7F99A9CB" w14:textId="3DF68FF1" w:rsidR="0015461B" w:rsidRDefault="005726C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24DF050B" w14:textId="36F8EC28" w:rsidR="0015461B" w:rsidRPr="00C72C0C" w:rsidRDefault="005726CF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B378D1">
        <w:rPr>
          <w:b/>
          <w:sz w:val="20"/>
          <w:szCs w:val="20"/>
          <w:lang w:val="en"/>
        </w:rPr>
        <w:t>First match</w:t>
      </w:r>
      <w:r w:rsidR="00B378D1" w:rsidRPr="00B378D1">
        <w:rPr>
          <w:b/>
          <w:sz w:val="20"/>
          <w:szCs w:val="20"/>
          <w:lang w:val="en"/>
        </w:rPr>
        <w:t>up</w:t>
      </w:r>
      <w:r w:rsidRPr="00B378D1">
        <w:rPr>
          <w:b/>
          <w:sz w:val="20"/>
          <w:szCs w:val="20"/>
          <w:lang w:val="en"/>
        </w:rPr>
        <w:t xml:space="preserve"> </w:t>
      </w:r>
      <w:r w:rsidR="00E758EE" w:rsidRPr="00B378D1">
        <w:rPr>
          <w:b/>
          <w:sz w:val="20"/>
          <w:szCs w:val="20"/>
          <w:lang w:val="en"/>
        </w:rPr>
        <w:t xml:space="preserve">in history </w:t>
      </w:r>
      <w:r w:rsidRPr="00B378D1">
        <w:rPr>
          <w:b/>
          <w:sz w:val="20"/>
          <w:szCs w:val="20"/>
          <w:lang w:val="en"/>
        </w:rPr>
        <w:t>and</w:t>
      </w:r>
      <w:r w:rsidR="00B378D1" w:rsidRPr="00B378D1">
        <w:rPr>
          <w:b/>
          <w:sz w:val="20"/>
          <w:szCs w:val="20"/>
          <w:lang w:val="en"/>
        </w:rPr>
        <w:t xml:space="preserve"> </w:t>
      </w:r>
      <w:r w:rsidRPr="00B378D1">
        <w:rPr>
          <w:b/>
          <w:sz w:val="20"/>
          <w:szCs w:val="20"/>
          <w:lang w:val="en"/>
        </w:rPr>
        <w:t>in</w:t>
      </w:r>
      <w:r w:rsidR="00B378D1" w:rsidRPr="00B378D1">
        <w:rPr>
          <w:b/>
          <w:lang w:val="en"/>
        </w:rPr>
        <w:t xml:space="preserve"> </w:t>
      </w:r>
      <w:r w:rsidRPr="00B378D1">
        <w:rPr>
          <w:b/>
          <w:lang w:val="en"/>
        </w:rPr>
        <w:t xml:space="preserve">the </w:t>
      </w:r>
      <w:r w:rsidRPr="00B378D1">
        <w:rPr>
          <w:b/>
          <w:sz w:val="20"/>
          <w:szCs w:val="20"/>
          <w:lang w:val="en"/>
        </w:rPr>
        <w:t xml:space="preserve">Scotiabank </w:t>
      </w:r>
      <w:r w:rsidR="00E758EE" w:rsidRPr="00B378D1">
        <w:rPr>
          <w:b/>
          <w:sz w:val="20"/>
          <w:szCs w:val="20"/>
          <w:lang w:val="en"/>
        </w:rPr>
        <w:t>Concacaf Champions League</w:t>
      </w:r>
      <w:r w:rsidR="00C72C0C">
        <w:rPr>
          <w:b/>
          <w:sz w:val="20"/>
          <w:szCs w:val="20"/>
          <w:lang w:val="en"/>
        </w:rPr>
        <w:t>, SCCL</w:t>
      </w:r>
      <w:r w:rsidR="00E758EE">
        <w:rPr>
          <w:b/>
          <w:sz w:val="20"/>
          <w:szCs w:val="20"/>
          <w:lang w:val="en"/>
        </w:rPr>
        <w:t xml:space="preserve">. </w:t>
      </w:r>
    </w:p>
    <w:p w14:paraId="67767D2F" w14:textId="7177F540" w:rsidR="0015461B" w:rsidRPr="00C72C0C" w:rsidRDefault="005726CF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The U.S. teams</w:t>
      </w:r>
      <w:r w:rsidR="00E758EE">
        <w:rPr>
          <w:b/>
          <w:sz w:val="20"/>
          <w:szCs w:val="20"/>
          <w:lang w:val="en"/>
        </w:rPr>
        <w:t xml:space="preserve"> </w:t>
      </w:r>
      <w:r w:rsidR="00B378D1">
        <w:rPr>
          <w:b/>
          <w:sz w:val="20"/>
          <w:szCs w:val="20"/>
          <w:lang w:val="en"/>
        </w:rPr>
        <w:t>have</w:t>
      </w:r>
      <w:r w:rsidR="00E758EE">
        <w:rPr>
          <w:b/>
          <w:sz w:val="20"/>
          <w:szCs w:val="20"/>
          <w:lang w:val="en"/>
        </w:rPr>
        <w:t xml:space="preserve"> 50% of victories in the SCCL (Champions ERA) duels </w:t>
      </w:r>
      <w:r>
        <w:rPr>
          <w:b/>
          <w:sz w:val="20"/>
          <w:szCs w:val="20"/>
          <w:lang w:val="en"/>
        </w:rPr>
        <w:t>against</w:t>
      </w:r>
      <w:r w:rsidR="00E758EE">
        <w:rPr>
          <w:b/>
          <w:sz w:val="20"/>
          <w:szCs w:val="20"/>
          <w:lang w:val="en"/>
        </w:rPr>
        <w:t xml:space="preserve"> rivals from Costa Rica (16 of 32 total matches). </w:t>
      </w:r>
      <w:r>
        <w:rPr>
          <w:lang w:val="en"/>
        </w:rPr>
        <w:t xml:space="preserve"> </w:t>
      </w:r>
      <w:r w:rsidR="00E758EE">
        <w:rPr>
          <w:sz w:val="20"/>
          <w:szCs w:val="20"/>
          <w:lang w:val="en"/>
        </w:rPr>
        <w:t>In addition, there were 11 wins for Costa Rican</w:t>
      </w:r>
      <w:r w:rsidR="00B378D1">
        <w:rPr>
          <w:sz w:val="20"/>
          <w:szCs w:val="20"/>
          <w:lang w:val="en"/>
        </w:rPr>
        <w:t xml:space="preserve"> clubs</w:t>
      </w:r>
      <w:r w:rsidR="00E758EE">
        <w:rPr>
          <w:sz w:val="20"/>
          <w:szCs w:val="20"/>
          <w:lang w:val="en"/>
        </w:rPr>
        <w:t xml:space="preserve"> and 5 draws. </w:t>
      </w:r>
    </w:p>
    <w:p w14:paraId="7EA7198B" w14:textId="77777777" w:rsidR="005726CF" w:rsidRPr="00C72C0C" w:rsidRDefault="00E758E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U.S. teams </w:t>
      </w:r>
      <w:r w:rsidR="005726CF">
        <w:rPr>
          <w:b/>
          <w:sz w:val="20"/>
          <w:szCs w:val="20"/>
          <w:lang w:val="en"/>
        </w:rPr>
        <w:t>have won</w:t>
      </w:r>
      <w:r>
        <w:rPr>
          <w:b/>
          <w:sz w:val="20"/>
          <w:szCs w:val="20"/>
          <w:lang w:val="en"/>
        </w:rPr>
        <w:t xml:space="preserve"> the last 7 </w:t>
      </w:r>
      <w:r w:rsidR="005726CF">
        <w:rPr>
          <w:b/>
          <w:sz w:val="20"/>
          <w:szCs w:val="20"/>
          <w:lang w:val="en"/>
        </w:rPr>
        <w:t>matches</w:t>
      </w:r>
      <w:r>
        <w:rPr>
          <w:b/>
          <w:sz w:val="20"/>
          <w:szCs w:val="20"/>
          <w:lang w:val="en"/>
        </w:rPr>
        <w:t xml:space="preserve"> against Costa Rican rivals in </w:t>
      </w:r>
      <w:r w:rsidR="005726CF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>SCCL:</w:t>
      </w:r>
    </w:p>
    <w:p w14:paraId="47AD6837" w14:textId="48B38E78" w:rsidR="0015461B" w:rsidRDefault="00E758E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Atlanta United USA vs. Herediano CRC (4-0 </w:t>
      </w:r>
      <w:r w:rsidR="00B378D1">
        <w:rPr>
          <w:sz w:val="20"/>
          <w:szCs w:val="20"/>
          <w:lang w:val="en"/>
        </w:rPr>
        <w:t>i</w:t>
      </w:r>
      <w:r>
        <w:rPr>
          <w:sz w:val="20"/>
          <w:szCs w:val="20"/>
          <w:lang w:val="en"/>
        </w:rPr>
        <w:t xml:space="preserve">n R16 2019), New York City USA vs. AD San Carlos CRC (3-5 </w:t>
      </w:r>
      <w:r w:rsidR="00B378D1">
        <w:rPr>
          <w:sz w:val="20"/>
          <w:szCs w:val="20"/>
          <w:lang w:val="en"/>
        </w:rPr>
        <w:t>and</w:t>
      </w:r>
      <w:r>
        <w:rPr>
          <w:sz w:val="20"/>
          <w:szCs w:val="20"/>
          <w:lang w:val="en"/>
        </w:rPr>
        <w:t xml:space="preserve"> 1-0 </w:t>
      </w:r>
      <w:r w:rsidR="00B378D1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R16 2020), Atlanta United USA vs. Alajuelense CRC (0-1 </w:t>
      </w:r>
      <w:r w:rsidR="00B378D1">
        <w:rPr>
          <w:sz w:val="20"/>
          <w:szCs w:val="20"/>
          <w:lang w:val="en"/>
        </w:rPr>
        <w:t>and</w:t>
      </w:r>
      <w:r>
        <w:rPr>
          <w:sz w:val="20"/>
          <w:szCs w:val="20"/>
          <w:lang w:val="en"/>
        </w:rPr>
        <w:t xml:space="preserve"> 1-0 </w:t>
      </w:r>
      <w:r w:rsidR="00B378D1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R16 2021), Philadelphia Union USA vs. Dep. Saprissa CRC (0-1 </w:t>
      </w:r>
      <w:r w:rsidR="00B378D1">
        <w:rPr>
          <w:sz w:val="20"/>
          <w:szCs w:val="20"/>
          <w:lang w:val="en"/>
        </w:rPr>
        <w:t>and</w:t>
      </w:r>
      <w:r>
        <w:rPr>
          <w:sz w:val="20"/>
          <w:szCs w:val="20"/>
          <w:lang w:val="en"/>
        </w:rPr>
        <w:t xml:space="preserve"> 4-0 </w:t>
      </w:r>
      <w:r w:rsidR="00B378D1">
        <w:rPr>
          <w:sz w:val="20"/>
          <w:szCs w:val="20"/>
          <w:lang w:val="en"/>
        </w:rPr>
        <w:t>i</w:t>
      </w:r>
      <w:r>
        <w:rPr>
          <w:sz w:val="20"/>
          <w:szCs w:val="20"/>
          <w:lang w:val="en"/>
        </w:rPr>
        <w:t xml:space="preserve">n R16 2021). </w:t>
      </w:r>
    </w:p>
    <w:p w14:paraId="6283CE49" w14:textId="19E7D498" w:rsidR="0015461B" w:rsidRPr="00C72C0C" w:rsidRDefault="00E758EE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The last win for a Costa Rican club against </w:t>
      </w:r>
      <w:r w:rsidR="005726CF">
        <w:rPr>
          <w:b/>
          <w:sz w:val="20"/>
          <w:szCs w:val="20"/>
          <w:lang w:val="en"/>
        </w:rPr>
        <w:t>an American rival</w:t>
      </w:r>
      <w:r>
        <w:rPr>
          <w:b/>
          <w:sz w:val="20"/>
          <w:szCs w:val="20"/>
          <w:lang w:val="en"/>
        </w:rPr>
        <w:t xml:space="preserve"> in</w:t>
      </w:r>
      <w:r w:rsidR="005726CF">
        <w:rPr>
          <w:b/>
          <w:sz w:val="20"/>
          <w:szCs w:val="20"/>
          <w:lang w:val="en"/>
        </w:rPr>
        <w:t xml:space="preserve"> </w:t>
      </w:r>
      <w:r w:rsidR="00B378D1">
        <w:rPr>
          <w:b/>
          <w:sz w:val="20"/>
          <w:szCs w:val="20"/>
          <w:lang w:val="en"/>
        </w:rPr>
        <w:t>the SCCL</w:t>
      </w:r>
      <w:r>
        <w:rPr>
          <w:sz w:val="20"/>
          <w:szCs w:val="20"/>
          <w:lang w:val="en"/>
        </w:rPr>
        <w:t xml:space="preserve"> was </w:t>
      </w:r>
      <w:r w:rsidR="005726CF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3-1</w:t>
      </w:r>
      <w:r w:rsidR="00C72C0C">
        <w:rPr>
          <w:sz w:val="20"/>
          <w:szCs w:val="20"/>
          <w:lang w:val="en"/>
        </w:rPr>
        <w:t>) Herediano</w:t>
      </w:r>
      <w:r>
        <w:rPr>
          <w:sz w:val="20"/>
          <w:szCs w:val="20"/>
          <w:lang w:val="en"/>
        </w:rPr>
        <w:t xml:space="preserve"> vs. Atlanta United USA (José </w:t>
      </w:r>
      <w:r w:rsidR="00C72C0C">
        <w:rPr>
          <w:sz w:val="20"/>
          <w:szCs w:val="20"/>
          <w:lang w:val="en"/>
        </w:rPr>
        <w:t>Ortiz</w:t>
      </w:r>
      <w:r>
        <w:rPr>
          <w:sz w:val="20"/>
          <w:szCs w:val="20"/>
          <w:lang w:val="en"/>
        </w:rPr>
        <w:t xml:space="preserve">, Randall Azofeifa and Óscar </w:t>
      </w:r>
      <w:r w:rsidR="00C72C0C">
        <w:rPr>
          <w:sz w:val="20"/>
          <w:szCs w:val="20"/>
          <w:lang w:val="en"/>
        </w:rPr>
        <w:t xml:space="preserve">Granados; </w:t>
      </w:r>
      <w:r w:rsidR="00C72C0C">
        <w:rPr>
          <w:lang w:val="en"/>
        </w:rPr>
        <w:t>Julian</w:t>
      </w:r>
      <w:r>
        <w:rPr>
          <w:sz w:val="20"/>
          <w:szCs w:val="20"/>
          <w:lang w:val="en"/>
        </w:rPr>
        <w:t xml:space="preserve"> Gressel) in </w:t>
      </w:r>
      <w:r w:rsidR="005726CF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R16 match of the 2019 edition.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5461B" w14:paraId="17F15B55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DAB38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62B62EF" wp14:editId="497F0ECA">
                  <wp:extent cx="266700" cy="266700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E8857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SANTOS DE GUÁPILES (CRC)</w:t>
            </w:r>
          </w:p>
        </w:tc>
      </w:tr>
    </w:tbl>
    <w:p w14:paraId="21498AAC" w14:textId="77777777" w:rsidR="0015461B" w:rsidRPr="00C72C0C" w:rsidRDefault="00E758EE">
      <w:pPr>
        <w:shd w:val="clear" w:color="auto" w:fill="FFFFFF"/>
        <w:spacing w:before="400" w:after="200"/>
        <w:ind w:right="667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4"/>
          <w:szCs w:val="24"/>
          <w:lang w:val="en"/>
        </w:rPr>
        <w:t>Highlights of SANTOS DE GUÁPILES in the history of the SCCL:</w:t>
      </w:r>
    </w:p>
    <w:p w14:paraId="1D59A434" w14:textId="603817E9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lang w:val="en-US"/>
        </w:rPr>
      </w:pPr>
      <w:r>
        <w:rPr>
          <w:b/>
          <w:sz w:val="20"/>
          <w:szCs w:val="20"/>
          <w:lang w:val="en"/>
        </w:rPr>
        <w:t xml:space="preserve">Santos, along with Forge FC (CAN) and Cavaly AS (HAI), will be the debutant teams in the 2022 Concacaf Champions League. </w:t>
      </w:r>
      <w:r w:rsidR="00901E0E">
        <w:rPr>
          <w:sz w:val="20"/>
          <w:szCs w:val="20"/>
          <w:lang w:val="en"/>
        </w:rPr>
        <w:t xml:space="preserve"> Santos de Guápiles has participated internationally</w:t>
      </w:r>
      <w:r>
        <w:rPr>
          <w:sz w:val="20"/>
          <w:szCs w:val="20"/>
          <w:lang w:val="en"/>
        </w:rPr>
        <w:t xml:space="preserve"> in the 2002 UNCAF Interclub Cup and the 2017, 2018 and 2021 Scotiabank Concacaf League.</w:t>
      </w:r>
    </w:p>
    <w:p w14:paraId="12FD2FD1" w14:textId="7EB9103D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Osvaldo Rodríguez (CRC)</w:t>
      </w:r>
      <w:r>
        <w:rPr>
          <w:sz w:val="20"/>
          <w:szCs w:val="20"/>
          <w:lang w:val="en"/>
        </w:rPr>
        <w:t xml:space="preserve"> was </w:t>
      </w:r>
      <w:r w:rsidR="00B378D1">
        <w:rPr>
          <w:sz w:val="20"/>
          <w:szCs w:val="20"/>
          <w:lang w:val="en"/>
        </w:rPr>
        <w:t>a main piece</w:t>
      </w:r>
      <w:r>
        <w:rPr>
          <w:sz w:val="20"/>
          <w:szCs w:val="20"/>
          <w:lang w:val="en"/>
        </w:rPr>
        <w:t xml:space="preserve"> of Santos de Guápiles in the 2021 Scotiabank Concacaf League where </w:t>
      </w:r>
      <w:r w:rsidR="00901E0E">
        <w:rPr>
          <w:sz w:val="20"/>
          <w:szCs w:val="20"/>
          <w:lang w:val="en"/>
        </w:rPr>
        <w:t>he scored</w:t>
      </w:r>
      <w:r>
        <w:rPr>
          <w:sz w:val="20"/>
          <w:szCs w:val="20"/>
          <w:lang w:val="en"/>
        </w:rPr>
        <w:t xml:space="preserve"> 2 goals, 4 assists </w:t>
      </w:r>
      <w:r w:rsidR="00901E0E">
        <w:rPr>
          <w:sz w:val="20"/>
          <w:szCs w:val="20"/>
          <w:lang w:val="en"/>
        </w:rPr>
        <w:t>and was elected to the ideal</w:t>
      </w:r>
      <w:r>
        <w:rPr>
          <w:lang w:val="en"/>
        </w:rPr>
        <w:t xml:space="preserve"> XI </w:t>
      </w:r>
      <w:r>
        <w:rPr>
          <w:sz w:val="20"/>
          <w:szCs w:val="20"/>
          <w:lang w:val="en"/>
        </w:rPr>
        <w:t xml:space="preserve">of the competition. The experienced midfielder played 2 editions of SCCL with Alajuelense CRC (2013/14 and 2014/15). With 4 goals, he is the club's top scorer in international competitions (2 </w:t>
      </w:r>
      <w:r w:rsidR="00901E0E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in </w:t>
      </w:r>
      <w:r w:rsidR="00901E0E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SCL 2017 and 2 in </w:t>
      </w:r>
      <w:r w:rsidR="00901E0E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SCL 2021).</w:t>
      </w:r>
    </w:p>
    <w:p w14:paraId="16201F00" w14:textId="677DC9C2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Pablo Arboine (CRC). </w:t>
      </w:r>
      <w:r w:rsidR="00B378D1">
        <w:rPr>
          <w:sz w:val="20"/>
          <w:szCs w:val="20"/>
          <w:lang w:val="en"/>
        </w:rPr>
        <w:t>R</w:t>
      </w:r>
      <w:r>
        <w:rPr>
          <w:sz w:val="20"/>
          <w:szCs w:val="20"/>
          <w:lang w:val="en"/>
        </w:rPr>
        <w:t xml:space="preserve">unner-up in the Concacaf </w:t>
      </w:r>
      <w:r w:rsidR="00901E0E">
        <w:rPr>
          <w:sz w:val="20"/>
          <w:szCs w:val="20"/>
          <w:lang w:val="en"/>
        </w:rPr>
        <w:t xml:space="preserve">Scotiabank </w:t>
      </w:r>
      <w:r>
        <w:rPr>
          <w:sz w:val="20"/>
          <w:szCs w:val="20"/>
          <w:lang w:val="en"/>
        </w:rPr>
        <w:t xml:space="preserve">League in 2017. His only participation in the Concacaf Champions League </w:t>
      </w:r>
      <w:r w:rsidR="00901E0E">
        <w:rPr>
          <w:sz w:val="20"/>
          <w:szCs w:val="20"/>
          <w:lang w:val="en"/>
        </w:rPr>
        <w:t xml:space="preserve">Scotiabank </w:t>
      </w:r>
      <w:r>
        <w:rPr>
          <w:sz w:val="20"/>
          <w:szCs w:val="20"/>
          <w:lang w:val="en"/>
        </w:rPr>
        <w:t xml:space="preserve">was in the 2020 edition when in the </w:t>
      </w:r>
      <w:r w:rsidR="00B378D1">
        <w:rPr>
          <w:sz w:val="20"/>
          <w:szCs w:val="20"/>
          <w:lang w:val="en"/>
        </w:rPr>
        <w:t>R16,</w:t>
      </w:r>
      <w:r>
        <w:rPr>
          <w:sz w:val="20"/>
          <w:szCs w:val="20"/>
          <w:lang w:val="en"/>
        </w:rPr>
        <w:t xml:space="preserve"> he faced New York City (USA) </w:t>
      </w:r>
      <w:r w:rsidR="00901E0E">
        <w:rPr>
          <w:sz w:val="20"/>
          <w:szCs w:val="20"/>
          <w:lang w:val="en"/>
        </w:rPr>
        <w:t>as a player of</w:t>
      </w:r>
      <w:r>
        <w:rPr>
          <w:sz w:val="20"/>
          <w:szCs w:val="20"/>
          <w:lang w:val="en"/>
        </w:rPr>
        <w:t xml:space="preserve"> AD San Carlos (CRC).</w:t>
      </w:r>
    </w:p>
    <w:p w14:paraId="6951EDB5" w14:textId="232458BE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lastRenderedPageBreak/>
        <w:t>Juan Diego Madrigal (CRC)</w:t>
      </w:r>
      <w:r>
        <w:rPr>
          <w:sz w:val="20"/>
          <w:szCs w:val="20"/>
          <w:lang w:val="en"/>
        </w:rPr>
        <w:t xml:space="preserve"> is the Santos de Guápiles player with the most international matches (16). </w:t>
      </w:r>
      <w:r>
        <w:rPr>
          <w:lang w:val="en"/>
        </w:rPr>
        <w:t xml:space="preserve"> </w:t>
      </w:r>
      <w:r w:rsidR="00042083">
        <w:rPr>
          <w:sz w:val="20"/>
          <w:szCs w:val="20"/>
          <w:lang w:val="en"/>
        </w:rPr>
        <w:t>Madrigal played</w:t>
      </w:r>
      <w:r>
        <w:rPr>
          <w:sz w:val="20"/>
          <w:szCs w:val="20"/>
          <w:lang w:val="en"/>
        </w:rPr>
        <w:t xml:space="preserve"> 100%  of</w:t>
      </w:r>
      <w:r w:rsidR="00042083">
        <w:rPr>
          <w:sz w:val="20"/>
          <w:szCs w:val="20"/>
          <w:lang w:val="en"/>
        </w:rPr>
        <w:t xml:space="preserve"> Santos' matches</w:t>
      </w:r>
      <w:r>
        <w:rPr>
          <w:sz w:val="20"/>
          <w:szCs w:val="20"/>
          <w:lang w:val="en"/>
        </w:rPr>
        <w:t xml:space="preserve"> in the Concacaf League: 2017 editions -runner-up- (8 </w:t>
      </w:r>
      <w:r w:rsidR="00B378D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), 2018 (2 </w:t>
      </w:r>
      <w:r w:rsidR="00B378D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) and 2021 (6 </w:t>
      </w:r>
      <w:r w:rsidR="00B378D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>).</w:t>
      </w:r>
    </w:p>
    <w:p w14:paraId="07192721" w14:textId="089256BA" w:rsidR="0015461B" w:rsidRPr="00C72C0C" w:rsidRDefault="007564E0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Santos de Guápiles has played in</w:t>
      </w:r>
      <w:r w:rsidR="00E758EE">
        <w:rPr>
          <w:b/>
          <w:sz w:val="20"/>
          <w:szCs w:val="20"/>
          <w:lang w:val="en"/>
        </w:rPr>
        <w:t xml:space="preserve"> 3 editions of the Scotiabank SCL Concacaf League</w:t>
      </w:r>
      <w:r>
        <w:rPr>
          <w:b/>
          <w:sz w:val="20"/>
          <w:szCs w:val="20"/>
          <w:lang w:val="en"/>
        </w:rPr>
        <w:t xml:space="preserve">, </w:t>
      </w:r>
      <w:r w:rsidR="00E758EE">
        <w:rPr>
          <w:b/>
          <w:sz w:val="20"/>
          <w:szCs w:val="20"/>
          <w:lang w:val="en"/>
        </w:rPr>
        <w:t xml:space="preserve">(16 matches between the 2017, 2018 and 2021 editions). </w:t>
      </w:r>
      <w:r>
        <w:rPr>
          <w:lang w:val="en"/>
        </w:rPr>
        <w:t xml:space="preserve"> </w:t>
      </w:r>
      <w:r w:rsidR="00E758EE">
        <w:rPr>
          <w:sz w:val="20"/>
          <w:szCs w:val="20"/>
          <w:lang w:val="en"/>
        </w:rPr>
        <w:t xml:space="preserve">Their international results with the </w:t>
      </w:r>
      <w:r w:rsidR="00B378D1">
        <w:rPr>
          <w:sz w:val="20"/>
          <w:szCs w:val="20"/>
          <w:lang w:val="en"/>
        </w:rPr>
        <w:t>bigges</w:t>
      </w:r>
      <w:r w:rsidR="00E758EE">
        <w:rPr>
          <w:sz w:val="20"/>
          <w:szCs w:val="20"/>
          <w:lang w:val="en"/>
        </w:rPr>
        <w:t xml:space="preserve">t difference in the score were in the SCL 2017 and 2021: victories 6-2 vs. San Juan Jabloteh (TRI) in R16 of the 2017 edition, and 5-1 </w:t>
      </w:r>
      <w:r w:rsidR="00B378D1">
        <w:rPr>
          <w:sz w:val="20"/>
          <w:szCs w:val="20"/>
          <w:lang w:val="en"/>
        </w:rPr>
        <w:t>vs</w:t>
      </w:r>
      <w:r w:rsidR="00E758EE">
        <w:rPr>
          <w:sz w:val="20"/>
          <w:szCs w:val="20"/>
          <w:lang w:val="en"/>
        </w:rPr>
        <w:t xml:space="preserve"> Verdes FC (BLZ) in the Preliminary Round of the 2021 edition. </w:t>
      </w:r>
    </w:p>
    <w:p w14:paraId="6AFEBF74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>1st (2022).</w:t>
      </w:r>
    </w:p>
    <w:p w14:paraId="13A65272" w14:textId="77777777" w:rsidR="0015461B" w:rsidRDefault="0015461B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5461B" w14:paraId="53DB315B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59B94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2A673C6B" wp14:editId="558590F6">
                  <wp:extent cx="266700" cy="266700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777F" w14:textId="77777777" w:rsidR="0015461B" w:rsidRDefault="00E758EE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NEW YORK CITY (USA)</w:t>
            </w:r>
          </w:p>
        </w:tc>
      </w:tr>
    </w:tbl>
    <w:p w14:paraId="1B015151" w14:textId="1C79C35F" w:rsidR="0015461B" w:rsidRPr="00C72C0C" w:rsidRDefault="00E758EE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  <w:lang w:val="en-US"/>
        </w:rPr>
      </w:pPr>
      <w:bookmarkStart w:id="6" w:name="_bj1vpysd3hdj" w:colFirst="0" w:colLast="0"/>
      <w:bookmarkEnd w:id="6"/>
      <w:r>
        <w:rPr>
          <w:b/>
          <w:sz w:val="24"/>
          <w:szCs w:val="24"/>
          <w:lang w:val="en"/>
        </w:rPr>
        <w:t xml:space="preserve">Highlights of </w:t>
      </w:r>
      <w:r w:rsidR="00B378D1">
        <w:rPr>
          <w:b/>
          <w:sz w:val="24"/>
          <w:szCs w:val="24"/>
          <w:lang w:val="en"/>
        </w:rPr>
        <w:t>New York City</w:t>
      </w:r>
      <w:r>
        <w:rPr>
          <w:b/>
          <w:sz w:val="24"/>
          <w:szCs w:val="24"/>
          <w:lang w:val="en"/>
        </w:rPr>
        <w:t xml:space="preserve"> in the history of SCCL:</w:t>
      </w:r>
    </w:p>
    <w:p w14:paraId="1C99616D" w14:textId="3CC7075A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lang w:val="en-US"/>
        </w:rPr>
      </w:pPr>
      <w:r>
        <w:rPr>
          <w:b/>
          <w:sz w:val="20"/>
          <w:szCs w:val="20"/>
          <w:lang w:val="en"/>
        </w:rPr>
        <w:t xml:space="preserve">100% of the goals and points </w:t>
      </w:r>
      <w:r w:rsidR="00E21D9F">
        <w:rPr>
          <w:b/>
          <w:sz w:val="20"/>
          <w:szCs w:val="20"/>
          <w:lang w:val="en"/>
        </w:rPr>
        <w:t xml:space="preserve">achieved by </w:t>
      </w:r>
      <w:r>
        <w:rPr>
          <w:b/>
          <w:sz w:val="20"/>
          <w:szCs w:val="20"/>
          <w:lang w:val="en"/>
        </w:rPr>
        <w:t xml:space="preserve">NYCFC in the Scotiabank SCCL Concacaf Champions </w:t>
      </w:r>
      <w:r w:rsidR="00B378D1">
        <w:rPr>
          <w:b/>
          <w:sz w:val="20"/>
          <w:szCs w:val="20"/>
          <w:lang w:val="en"/>
        </w:rPr>
        <w:t>League were</w:t>
      </w:r>
      <w:r>
        <w:rPr>
          <w:b/>
          <w:sz w:val="20"/>
          <w:szCs w:val="20"/>
          <w:lang w:val="en"/>
        </w:rPr>
        <w:t xml:space="preserve"> in </w:t>
      </w:r>
      <w:r w:rsidR="00E21D9F">
        <w:rPr>
          <w:b/>
          <w:sz w:val="20"/>
          <w:szCs w:val="20"/>
          <w:lang w:val="en"/>
        </w:rPr>
        <w:t>the knockout stages</w:t>
      </w:r>
      <w:r>
        <w:rPr>
          <w:sz w:val="20"/>
          <w:szCs w:val="20"/>
          <w:lang w:val="en"/>
        </w:rPr>
        <w:t xml:space="preserve"> (6 goals vs. AD San Carlos in the 3-5 and 1-0 victories in the Round Of 16 of the 2020 edition).</w:t>
      </w:r>
    </w:p>
    <w:p w14:paraId="433B53A3" w14:textId="71AABBA9" w:rsidR="0015461B" w:rsidRPr="00C72C0C" w:rsidRDefault="00B378D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NYFC</w:t>
      </w:r>
      <w:r w:rsidR="00E758EE">
        <w:rPr>
          <w:b/>
          <w:sz w:val="20"/>
          <w:szCs w:val="20"/>
          <w:lang w:val="en"/>
        </w:rPr>
        <w:t xml:space="preserve"> did not</w:t>
      </w:r>
      <w:r>
        <w:rPr>
          <w:b/>
          <w:sz w:val="20"/>
          <w:szCs w:val="20"/>
          <w:lang w:val="en"/>
        </w:rPr>
        <w:t xml:space="preserve"> add up points or s</w:t>
      </w:r>
      <w:r w:rsidR="00E21D9F">
        <w:rPr>
          <w:b/>
          <w:sz w:val="20"/>
          <w:szCs w:val="20"/>
          <w:lang w:val="en"/>
        </w:rPr>
        <w:t>core</w:t>
      </w:r>
      <w:r>
        <w:rPr>
          <w:b/>
          <w:sz w:val="20"/>
          <w:szCs w:val="20"/>
          <w:lang w:val="en"/>
        </w:rPr>
        <w:t>d</w:t>
      </w:r>
      <w:r w:rsidR="00E758EE">
        <w:rPr>
          <w:b/>
          <w:sz w:val="20"/>
          <w:szCs w:val="20"/>
          <w:lang w:val="en"/>
        </w:rPr>
        <w:t xml:space="preserve"> in his last 2 </w:t>
      </w:r>
      <w:r>
        <w:rPr>
          <w:b/>
          <w:sz w:val="20"/>
          <w:szCs w:val="20"/>
          <w:lang w:val="en"/>
        </w:rPr>
        <w:t>SCCL</w:t>
      </w:r>
      <w:r w:rsidR="00E21D9F">
        <w:rPr>
          <w:b/>
          <w:sz w:val="20"/>
          <w:szCs w:val="20"/>
          <w:lang w:val="en"/>
        </w:rPr>
        <w:t xml:space="preserve"> games</w:t>
      </w:r>
      <w:r w:rsidR="00E758EE">
        <w:rPr>
          <w:b/>
          <w:sz w:val="20"/>
          <w:szCs w:val="20"/>
          <w:lang w:val="en"/>
        </w:rPr>
        <w:t xml:space="preserve">. </w:t>
      </w:r>
      <w:r w:rsidR="00E758EE">
        <w:rPr>
          <w:lang w:val="en"/>
        </w:rPr>
        <w:t xml:space="preserve"> </w:t>
      </w:r>
      <w:r w:rsidR="00E21D9F">
        <w:rPr>
          <w:sz w:val="20"/>
          <w:szCs w:val="20"/>
          <w:lang w:val="en"/>
        </w:rPr>
        <w:t xml:space="preserve">Both were </w:t>
      </w:r>
      <w:r w:rsidR="00E758EE">
        <w:rPr>
          <w:sz w:val="20"/>
          <w:szCs w:val="20"/>
          <w:lang w:val="en"/>
        </w:rPr>
        <w:t xml:space="preserve">defeated 0-1 and 4-0 vs. Tigres UANL (MEX) in the </w:t>
      </w:r>
      <w:r>
        <w:rPr>
          <w:sz w:val="20"/>
          <w:szCs w:val="20"/>
          <w:lang w:val="en"/>
        </w:rPr>
        <w:t>Quarterfinals</w:t>
      </w:r>
      <w:r w:rsidR="00E758EE">
        <w:rPr>
          <w:sz w:val="20"/>
          <w:szCs w:val="20"/>
          <w:lang w:val="en"/>
        </w:rPr>
        <w:t xml:space="preserve"> of the 2020 edition.</w:t>
      </w:r>
    </w:p>
    <w:p w14:paraId="5604612A" w14:textId="49217FAB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lang w:val="en-US"/>
        </w:rPr>
      </w:pPr>
      <w:r>
        <w:rPr>
          <w:b/>
          <w:sz w:val="20"/>
          <w:szCs w:val="20"/>
          <w:lang w:val="en"/>
        </w:rPr>
        <w:t>New York City scored 83.3% of its CONCACAF Champions League goals in 1 of the 4 matches played</w:t>
      </w:r>
      <w:r>
        <w:rPr>
          <w:sz w:val="20"/>
          <w:szCs w:val="20"/>
          <w:lang w:val="en"/>
        </w:rPr>
        <w:t xml:space="preserve">, in its only and previous participation in the 2020 edition (in the 3-5 victory vs. AD San Carlos in the </w:t>
      </w:r>
      <w:r w:rsidR="00E21D9F">
        <w:rPr>
          <w:sz w:val="20"/>
          <w:szCs w:val="20"/>
          <w:lang w:val="en"/>
        </w:rPr>
        <w:t>knockout stages</w:t>
      </w:r>
      <w:r>
        <w:rPr>
          <w:sz w:val="20"/>
          <w:szCs w:val="20"/>
          <w:lang w:val="en"/>
        </w:rPr>
        <w:t>).</w:t>
      </w:r>
    </w:p>
    <w:p w14:paraId="01107702" w14:textId="48B1D9E7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lang w:val="en-US"/>
        </w:rPr>
      </w:pPr>
      <w:r>
        <w:rPr>
          <w:b/>
          <w:sz w:val="20"/>
          <w:szCs w:val="20"/>
          <w:lang w:val="en"/>
        </w:rPr>
        <w:t xml:space="preserve">Peru's Alexander Callens was the author of New York City's only headed goal in their only SCCL appearance </w:t>
      </w:r>
      <w:r>
        <w:rPr>
          <w:sz w:val="20"/>
          <w:szCs w:val="20"/>
          <w:lang w:val="en"/>
        </w:rPr>
        <w:t>(vs. AD San Carlos in 2020). This goal scored by the defender is the club's only home goal in the history of the tournament.</w:t>
      </w:r>
    </w:p>
    <w:p w14:paraId="20826F00" w14:textId="608608F6" w:rsidR="0015461B" w:rsidRPr="00C72C0C" w:rsidRDefault="00E758E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Romania's Alexandru Mitrita is the </w:t>
      </w:r>
      <w:r w:rsidR="00E21D9F">
        <w:rPr>
          <w:b/>
          <w:sz w:val="20"/>
          <w:szCs w:val="20"/>
          <w:lang w:val="en"/>
        </w:rPr>
        <w:t>team's assists leader</w:t>
      </w:r>
      <w:r>
        <w:rPr>
          <w:b/>
          <w:sz w:val="20"/>
          <w:szCs w:val="20"/>
          <w:lang w:val="en"/>
        </w:rPr>
        <w:t xml:space="preserve"> in </w:t>
      </w:r>
      <w:r w:rsidR="00E21D9F">
        <w:rPr>
          <w:b/>
          <w:sz w:val="20"/>
          <w:szCs w:val="20"/>
          <w:lang w:val="en"/>
        </w:rPr>
        <w:t>SCCL</w:t>
      </w:r>
      <w:r>
        <w:rPr>
          <w:b/>
          <w:sz w:val="20"/>
          <w:szCs w:val="20"/>
          <w:lang w:val="en"/>
        </w:rPr>
        <w:t xml:space="preserve"> (2).</w:t>
      </w:r>
      <w:r>
        <w:rPr>
          <w:lang w:val="en"/>
        </w:rPr>
        <w:t xml:space="preserve"> In addition, </w:t>
      </w:r>
      <w:r>
        <w:rPr>
          <w:sz w:val="20"/>
          <w:szCs w:val="20"/>
          <w:lang w:val="en"/>
        </w:rPr>
        <w:t>Anton Tinnerholm (SUE) and Ronald Matarrita (CRC</w:t>
      </w:r>
      <w:r>
        <w:rPr>
          <w:lang w:val="en"/>
        </w:rPr>
        <w:t xml:space="preserve">) </w:t>
      </w:r>
      <w:r>
        <w:rPr>
          <w:sz w:val="20"/>
          <w:szCs w:val="20"/>
          <w:lang w:val="en"/>
        </w:rPr>
        <w:t xml:space="preserve"> provided 1 assist</w:t>
      </w:r>
      <w:r>
        <w:rPr>
          <w:lang w:val="en"/>
        </w:rPr>
        <w:t>.</w:t>
      </w:r>
    </w:p>
    <w:p w14:paraId="46E92233" w14:textId="38903785" w:rsidR="0015461B" w:rsidRPr="00C72C0C" w:rsidRDefault="00E758EE">
      <w:pPr>
        <w:numPr>
          <w:ilvl w:val="0"/>
          <w:numId w:val="3"/>
        </w:numPr>
        <w:spacing w:before="200" w:after="200"/>
        <w:rPr>
          <w:lang w:val="en-US"/>
        </w:rPr>
      </w:pPr>
      <w:r>
        <w:rPr>
          <w:b/>
          <w:sz w:val="20"/>
          <w:szCs w:val="20"/>
          <w:lang w:val="en"/>
        </w:rPr>
        <w:t xml:space="preserve">Argentina's Valentín "Taty" Castellanos was the top figure of New York City's 2021 Major League Soccer </w:t>
      </w:r>
      <w:r w:rsidR="00B378D1">
        <w:rPr>
          <w:b/>
          <w:sz w:val="20"/>
          <w:szCs w:val="20"/>
          <w:lang w:val="en"/>
        </w:rPr>
        <w:t>Championship</w:t>
      </w:r>
      <w:r>
        <w:rPr>
          <w:b/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E21D9F">
        <w:rPr>
          <w:sz w:val="20"/>
          <w:szCs w:val="20"/>
          <w:lang w:val="en"/>
        </w:rPr>
        <w:t>Winner</w:t>
      </w:r>
      <w:r>
        <w:rPr>
          <w:sz w:val="20"/>
          <w:szCs w:val="20"/>
          <w:lang w:val="en"/>
        </w:rPr>
        <w:t xml:space="preserve"> of the MVP Award of the League, he won the Golden Boot with 19 </w:t>
      </w:r>
      <w:r w:rsidR="00E21D9F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and became the </w:t>
      </w:r>
      <w:r w:rsidR="00E21D9F">
        <w:rPr>
          <w:sz w:val="20"/>
          <w:szCs w:val="20"/>
          <w:lang w:val="en"/>
        </w:rPr>
        <w:t>top scorer</w:t>
      </w:r>
      <w:r>
        <w:rPr>
          <w:sz w:val="20"/>
          <w:szCs w:val="20"/>
          <w:lang w:val="en"/>
        </w:rPr>
        <w:t xml:space="preserve"> of the </w:t>
      </w:r>
      <w:r w:rsidR="00E21D9F">
        <w:rPr>
          <w:sz w:val="20"/>
          <w:szCs w:val="20"/>
          <w:lang w:val="en"/>
        </w:rPr>
        <w:t>tournament</w:t>
      </w:r>
      <w:r>
        <w:rPr>
          <w:sz w:val="20"/>
          <w:szCs w:val="20"/>
          <w:lang w:val="en"/>
        </w:rPr>
        <w:t xml:space="preserve"> and integrated the Ideal XI</w:t>
      </w:r>
      <w:r w:rsidR="00E21D9F">
        <w:rPr>
          <w:sz w:val="20"/>
          <w:szCs w:val="20"/>
          <w:lang w:val="en"/>
        </w:rPr>
        <w:t xml:space="preserve"> of the MLS </w:t>
      </w:r>
      <w:r>
        <w:rPr>
          <w:sz w:val="20"/>
          <w:szCs w:val="20"/>
          <w:lang w:val="en"/>
        </w:rPr>
        <w:t xml:space="preserve"> 2021.</w:t>
      </w:r>
    </w:p>
    <w:p w14:paraId="78D1D823" w14:textId="13E27560" w:rsidR="0015461B" w:rsidRPr="00C72C0C" w:rsidRDefault="00E758EE">
      <w:pPr>
        <w:numPr>
          <w:ilvl w:val="0"/>
          <w:numId w:val="3"/>
        </w:numPr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Maximiliano Moralez (ARG) was the</w:t>
      </w:r>
      <w:r w:rsidR="00E21D9F">
        <w:rPr>
          <w:b/>
          <w:sz w:val="20"/>
          <w:szCs w:val="20"/>
          <w:lang w:val="en"/>
        </w:rPr>
        <w:t xml:space="preserve"> team's assists leader</w:t>
      </w:r>
      <w:r>
        <w:rPr>
          <w:b/>
          <w:sz w:val="20"/>
          <w:szCs w:val="20"/>
          <w:lang w:val="en"/>
        </w:rPr>
        <w:t xml:space="preserve"> in MLS 2021 (11 in 34 </w:t>
      </w:r>
      <w:r w:rsidR="00E21D9F">
        <w:rPr>
          <w:b/>
          <w:sz w:val="20"/>
          <w:szCs w:val="20"/>
          <w:lang w:val="en"/>
        </w:rPr>
        <w:t>games</w:t>
      </w:r>
      <w:r>
        <w:rPr>
          <w:b/>
          <w:sz w:val="20"/>
          <w:szCs w:val="20"/>
          <w:lang w:val="en"/>
        </w:rPr>
        <w:t xml:space="preserve">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Argentine was present in the first participation of NYCFC in 2020 </w:t>
      </w:r>
      <w:r w:rsidR="00E21D9F">
        <w:rPr>
          <w:sz w:val="20"/>
          <w:szCs w:val="20"/>
          <w:lang w:val="en"/>
        </w:rPr>
        <w:t>playing</w:t>
      </w:r>
      <w:r>
        <w:rPr>
          <w:sz w:val="20"/>
          <w:szCs w:val="20"/>
          <w:lang w:val="en"/>
        </w:rPr>
        <w:t xml:space="preserve"> 4 games.</w:t>
      </w:r>
    </w:p>
    <w:p w14:paraId="255DC036" w14:textId="3A4545F8" w:rsidR="0015461B" w:rsidRPr="00C72C0C" w:rsidRDefault="00E758EE">
      <w:pPr>
        <w:numPr>
          <w:ilvl w:val="0"/>
          <w:numId w:val="3"/>
        </w:numPr>
        <w:spacing w:before="200" w:after="200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Heber Araujo (BRA) </w:t>
      </w:r>
      <w:r w:rsidR="00E21D9F">
        <w:rPr>
          <w:b/>
          <w:sz w:val="20"/>
          <w:szCs w:val="20"/>
          <w:lang w:val="en"/>
        </w:rPr>
        <w:t xml:space="preserve">has </w:t>
      </w:r>
      <w:r>
        <w:rPr>
          <w:b/>
          <w:sz w:val="20"/>
          <w:szCs w:val="20"/>
          <w:lang w:val="en"/>
        </w:rPr>
        <w:t xml:space="preserve">an average of 1.5 goals </w:t>
      </w:r>
      <w:r w:rsidR="00B378D1">
        <w:rPr>
          <w:b/>
          <w:sz w:val="20"/>
          <w:szCs w:val="20"/>
          <w:lang w:val="en"/>
        </w:rPr>
        <w:t>per game</w:t>
      </w:r>
      <w:r w:rsidR="00E21D9F">
        <w:rPr>
          <w:b/>
          <w:sz w:val="20"/>
          <w:szCs w:val="20"/>
          <w:lang w:val="en"/>
        </w:rPr>
        <w:t xml:space="preserve"> in the SCCL</w:t>
      </w:r>
      <w:r>
        <w:rPr>
          <w:sz w:val="20"/>
          <w:szCs w:val="20"/>
          <w:lang w:val="en"/>
        </w:rPr>
        <w:t xml:space="preserve"> (3 </w:t>
      </w:r>
      <w:r w:rsidR="00E21D9F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2 appearances in 2020). </w:t>
      </w:r>
      <w:r>
        <w:rPr>
          <w:lang w:val="en"/>
        </w:rPr>
        <w:t xml:space="preserve"> </w:t>
      </w:r>
      <w:r w:rsidR="00E21D9F">
        <w:rPr>
          <w:sz w:val="20"/>
          <w:szCs w:val="20"/>
          <w:lang w:val="en"/>
        </w:rPr>
        <w:t xml:space="preserve">He scored </w:t>
      </w:r>
      <w:r>
        <w:rPr>
          <w:sz w:val="20"/>
          <w:szCs w:val="20"/>
          <w:lang w:val="en"/>
        </w:rPr>
        <w:t xml:space="preserve">a hat-trick in the </w:t>
      </w:r>
      <w:r w:rsidR="00E21D9F">
        <w:rPr>
          <w:sz w:val="20"/>
          <w:szCs w:val="20"/>
          <w:lang w:val="en"/>
        </w:rPr>
        <w:t>knockout stages in</w:t>
      </w:r>
      <w:r>
        <w:rPr>
          <w:sz w:val="20"/>
          <w:szCs w:val="20"/>
          <w:lang w:val="en"/>
        </w:rPr>
        <w:t xml:space="preserve"> 2020.</w:t>
      </w:r>
    </w:p>
    <w:p w14:paraId="18A39716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>2nd (2020 and 2022).</w:t>
      </w:r>
    </w:p>
    <w:p w14:paraId="56E7D4B3" w14:textId="35A528BF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</w:t>
      </w:r>
      <w:r w:rsidR="00E21D9F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 w:rsidR="00B378D1">
        <w:rPr>
          <w:sz w:val="20"/>
          <w:szCs w:val="20"/>
          <w:lang w:val="en"/>
        </w:rPr>
        <w:t>Quarterfinals</w:t>
      </w:r>
      <w:r>
        <w:rPr>
          <w:sz w:val="20"/>
          <w:szCs w:val="20"/>
          <w:lang w:val="en"/>
        </w:rPr>
        <w:t xml:space="preserve"> in 2020.</w:t>
      </w:r>
    </w:p>
    <w:p w14:paraId="16D7A93A" w14:textId="351925CB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PARTICIPATION: </w:t>
      </w:r>
      <w:r>
        <w:rPr>
          <w:sz w:val="20"/>
          <w:szCs w:val="20"/>
          <w:lang w:val="en"/>
        </w:rPr>
        <w:t>2020 (</w:t>
      </w:r>
      <w:r w:rsidR="00B378D1">
        <w:rPr>
          <w:sz w:val="20"/>
          <w:szCs w:val="20"/>
          <w:lang w:val="en"/>
        </w:rPr>
        <w:t>QF</w:t>
      </w:r>
      <w:r>
        <w:rPr>
          <w:sz w:val="20"/>
          <w:szCs w:val="20"/>
          <w:lang w:val="en"/>
        </w:rPr>
        <w:t>).</w:t>
      </w:r>
    </w:p>
    <w:p w14:paraId="6A83D382" w14:textId="317AAD25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21D9F">
        <w:rPr>
          <w:b/>
          <w:sz w:val="20"/>
          <w:szCs w:val="20"/>
          <w:lang w:val="en"/>
        </w:rPr>
        <w:lastRenderedPageBreak/>
        <w:t xml:space="preserve">SCCL DEBUT: First </w:t>
      </w:r>
      <w:r w:rsidR="00E21D9F">
        <w:rPr>
          <w:b/>
          <w:sz w:val="20"/>
          <w:szCs w:val="20"/>
          <w:lang w:val="en"/>
        </w:rPr>
        <w:t xml:space="preserve">leg </w:t>
      </w:r>
      <w:r w:rsidR="00E21D9F" w:rsidRPr="00E21D9F">
        <w:rPr>
          <w:sz w:val="20"/>
          <w:szCs w:val="20"/>
          <w:lang w:val="en"/>
        </w:rPr>
        <w:t>2020 Knockout stage</w:t>
      </w:r>
      <w:r>
        <w:rPr>
          <w:sz w:val="20"/>
          <w:szCs w:val="20"/>
          <w:lang w:val="en"/>
        </w:rPr>
        <w:t xml:space="preserve"> with </w:t>
      </w:r>
      <w:r w:rsidR="00E21D9F">
        <w:rPr>
          <w:sz w:val="20"/>
          <w:szCs w:val="20"/>
          <w:lang w:val="en"/>
        </w:rPr>
        <w:t xml:space="preserve">a </w:t>
      </w:r>
      <w:r>
        <w:rPr>
          <w:sz w:val="20"/>
          <w:szCs w:val="20"/>
          <w:lang w:val="en"/>
        </w:rPr>
        <w:t xml:space="preserve">3-5 win vs. AD San Carlos CRC (Jorman Aguilar, Marcos Mena and Omar Browne; Heber x3, Alexander Callens and Alexandru Mitrita) </w:t>
      </w:r>
      <w:r w:rsidR="00B378D1">
        <w:rPr>
          <w:sz w:val="20"/>
          <w:szCs w:val="20"/>
          <w:lang w:val="en"/>
        </w:rPr>
        <w:t xml:space="preserve">at </w:t>
      </w:r>
      <w:r w:rsidR="00E21D9F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Estadio Alejandro Morera Soto (20-FEB-2020).</w:t>
      </w:r>
    </w:p>
    <w:p w14:paraId="5E562054" w14:textId="4A513F67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QUALIFICATION METHOD: </w:t>
      </w:r>
      <w:r>
        <w:rPr>
          <w:sz w:val="20"/>
          <w:szCs w:val="20"/>
          <w:lang w:val="en"/>
        </w:rPr>
        <w:t>2021 MLS CUP Champions. They beat Portland Timbers (USA) 4-2 in the Final</w:t>
      </w:r>
      <w:r w:rsidR="00B378D1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 xml:space="preserve"> on penalties (after equalizing 1-1 in extra time).</w:t>
      </w:r>
    </w:p>
    <w:p w14:paraId="29232B41" w14:textId="5A698930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SCCL: </w:t>
      </w:r>
      <w:r w:rsidR="00B378D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 </w:t>
      </w:r>
      <w:r w:rsidR="00B378D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B378D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-0 </w:t>
      </w:r>
      <w:r w:rsidR="00B378D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(GF-6 G</w:t>
      </w:r>
      <w:r w:rsidR="00B378D1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-8). 50% effectiveness.</w:t>
      </w:r>
    </w:p>
    <w:p w14:paraId="453F364D" w14:textId="12D884FF" w:rsidR="0015461B" w:rsidRDefault="00E758EE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VISITOR RECORD: </w:t>
      </w:r>
      <w:r w:rsidR="00B378D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 </w:t>
      </w:r>
      <w:r w:rsidR="00B378D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B378D1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-0 </w:t>
      </w:r>
      <w:r w:rsidR="00B378D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(GF-5 G</w:t>
      </w:r>
      <w:r w:rsidR="00B378D1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-7). 50% effectiveness. </w:t>
      </w:r>
    </w:p>
    <w:p w14:paraId="25131213" w14:textId="77777777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TOP SCORERS IN THE HISTORY OF SCCL: </w:t>
      </w:r>
      <w:r>
        <w:rPr>
          <w:sz w:val="20"/>
          <w:szCs w:val="20"/>
          <w:lang w:val="en"/>
        </w:rPr>
        <w:t>Heber Araujo (BRA) 3 goals, Alexander Callens (PER) 2 goals and Alexandru Mitrita (ROU) 1 goal.</w:t>
      </w:r>
    </w:p>
    <w:p w14:paraId="67A91E2B" w14:textId="77777777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TOP SCORERS IN R16: </w:t>
      </w:r>
      <w:r>
        <w:rPr>
          <w:sz w:val="20"/>
          <w:szCs w:val="20"/>
          <w:lang w:val="en"/>
        </w:rPr>
        <w:t>Heber Araujo (BRA) 3 goals and Alexander Callens (PER) 2 goals.</w:t>
      </w:r>
    </w:p>
    <w:p w14:paraId="5DF74B75" w14:textId="77777777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>Heber Araujo (BRA) 3 goals in 2020.</w:t>
      </w:r>
    </w:p>
    <w:p w14:paraId="7316C0A9" w14:textId="517E428E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PLAYERS WITH MO</w:t>
      </w:r>
      <w:r w:rsidR="00B378D1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PRESENCES: </w:t>
      </w:r>
      <w:r>
        <w:rPr>
          <w:sz w:val="20"/>
          <w:szCs w:val="20"/>
          <w:lang w:val="en"/>
        </w:rPr>
        <w:t xml:space="preserve">Maximiliano Moralez (ARG), Jesús Medina (PAR), Valentín Castellanos (ARG), Anton Tinnerholm (SUE), Maxime Chanot (LUX), Ronald Matarrita (CRC) and Alexander Callens (PER) </w:t>
      </w:r>
      <w:r w:rsidR="00B378D1">
        <w:rPr>
          <w:sz w:val="20"/>
          <w:szCs w:val="20"/>
          <w:lang w:val="en"/>
        </w:rPr>
        <w:t xml:space="preserve">- </w:t>
      </w:r>
      <w:r w:rsidRPr="00B378D1">
        <w:rPr>
          <w:b/>
          <w:bCs/>
          <w:sz w:val="21"/>
          <w:szCs w:val="21"/>
          <w:lang w:val="en"/>
        </w:rPr>
        <w:t>4</w:t>
      </w:r>
      <w:r>
        <w:rPr>
          <w:sz w:val="20"/>
          <w:szCs w:val="20"/>
          <w:lang w:val="en"/>
        </w:rPr>
        <w:t>.</w:t>
      </w:r>
    </w:p>
    <w:p w14:paraId="4AEA0895" w14:textId="1A460BF9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HAT-TRICKS </w:t>
      </w:r>
      <w:r w:rsidR="00B378D1">
        <w:rPr>
          <w:b/>
          <w:sz w:val="20"/>
          <w:szCs w:val="20"/>
          <w:lang w:val="en"/>
        </w:rPr>
        <w:t>I</w:t>
      </w:r>
      <w:r>
        <w:rPr>
          <w:b/>
          <w:sz w:val="20"/>
          <w:szCs w:val="20"/>
          <w:lang w:val="en"/>
        </w:rPr>
        <w:t xml:space="preserve">N SCCL (1): </w:t>
      </w:r>
      <w:r>
        <w:rPr>
          <w:sz w:val="20"/>
          <w:szCs w:val="20"/>
          <w:lang w:val="en"/>
        </w:rPr>
        <w:t xml:space="preserve">Heber Araujo (BRA) vs. AD San Carlos (CRC) </w:t>
      </w:r>
      <w:r w:rsidR="00B378D1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Round Of 16 </w:t>
      </w:r>
      <w:r w:rsidR="00B378D1">
        <w:rPr>
          <w:sz w:val="20"/>
          <w:szCs w:val="20"/>
          <w:lang w:val="en"/>
        </w:rPr>
        <w:t xml:space="preserve">of the </w:t>
      </w:r>
      <w:r>
        <w:rPr>
          <w:sz w:val="20"/>
          <w:szCs w:val="20"/>
          <w:lang w:val="en"/>
        </w:rPr>
        <w:t>2020</w:t>
      </w:r>
      <w:r w:rsidR="00B378D1">
        <w:rPr>
          <w:sz w:val="20"/>
          <w:szCs w:val="20"/>
          <w:lang w:val="en"/>
        </w:rPr>
        <w:t xml:space="preserve"> edition</w:t>
      </w:r>
      <w:r>
        <w:rPr>
          <w:sz w:val="20"/>
          <w:szCs w:val="20"/>
          <w:lang w:val="en"/>
        </w:rPr>
        <w:t>.</w:t>
      </w:r>
    </w:p>
    <w:p w14:paraId="0F581945" w14:textId="34040CC0" w:rsidR="0015461B" w:rsidRDefault="00B378D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</w:t>
      </w:r>
      <w:r w:rsidR="00E758EE">
        <w:rPr>
          <w:b/>
          <w:sz w:val="20"/>
          <w:szCs w:val="20"/>
          <w:lang w:val="en"/>
        </w:rPr>
        <w:t xml:space="preserve"> IN SCCL (0): </w:t>
      </w:r>
    </w:p>
    <w:p w14:paraId="41CE1713" w14:textId="0F1800DC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DOUBLE IN SCCL: </w:t>
      </w:r>
      <w:r w:rsidR="00E21D9F">
        <w:rPr>
          <w:sz w:val="20"/>
          <w:szCs w:val="20"/>
          <w:lang w:val="en"/>
        </w:rPr>
        <w:t>0</w:t>
      </w:r>
    </w:p>
    <w:p w14:paraId="1A5817C9" w14:textId="64BECF33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YOUNGEST SCORER: </w:t>
      </w:r>
      <w:r>
        <w:rPr>
          <w:sz w:val="20"/>
          <w:szCs w:val="20"/>
          <w:lang w:val="en"/>
        </w:rPr>
        <w:t>Alexandru Mitrita (ROU) vs. AD San Carlos (</w:t>
      </w:r>
      <w:r w:rsidR="00C72C0C">
        <w:rPr>
          <w:sz w:val="20"/>
          <w:szCs w:val="20"/>
          <w:lang w:val="en"/>
        </w:rPr>
        <w:t>CRC) 25</w:t>
      </w:r>
      <w:r>
        <w:rPr>
          <w:sz w:val="20"/>
          <w:szCs w:val="20"/>
          <w:lang w:val="en"/>
        </w:rPr>
        <w:t xml:space="preserve"> years and 13 days in the 3-5 knockout </w:t>
      </w:r>
      <w:r w:rsidR="00E21D9F">
        <w:rPr>
          <w:sz w:val="20"/>
          <w:szCs w:val="20"/>
          <w:lang w:val="en"/>
        </w:rPr>
        <w:t>win in</w:t>
      </w:r>
      <w:r>
        <w:rPr>
          <w:sz w:val="20"/>
          <w:szCs w:val="20"/>
          <w:lang w:val="en"/>
        </w:rPr>
        <w:t xml:space="preserve"> 2020.</w:t>
      </w:r>
    </w:p>
    <w:p w14:paraId="4095325E" w14:textId="10717A23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OLDEST SCORER: </w:t>
      </w:r>
      <w:r>
        <w:rPr>
          <w:sz w:val="20"/>
          <w:szCs w:val="20"/>
          <w:lang w:val="en"/>
        </w:rPr>
        <w:t xml:space="preserve">Heber Araujo vs. AD San Carlos (CRC) at 28 years, 6 months and 11 days in a 3-5 knockout win </w:t>
      </w:r>
      <w:r w:rsidR="00E21D9F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2020.</w:t>
      </w:r>
    </w:p>
    <w:p w14:paraId="36BA0A67" w14:textId="187D3BEB" w:rsidR="0015461B" w:rsidRPr="00C72C0C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 xml:space="preserve">LAST </w:t>
      </w:r>
      <w:r w:rsidR="00E21D9F">
        <w:rPr>
          <w:b/>
          <w:sz w:val="20"/>
          <w:szCs w:val="20"/>
          <w:lang w:val="en"/>
        </w:rPr>
        <w:t>WIN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3-5 </w:t>
      </w:r>
      <w:r w:rsidR="00E21D9F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AD San Carlos -CRC- (Jorman Aguilar, Marcos Mena and Omar Browne; Heber Araujo x3, Alexander Callens and Alexandru Mitrita) in the </w:t>
      </w:r>
      <w:r w:rsidR="00E21D9F">
        <w:rPr>
          <w:sz w:val="20"/>
          <w:szCs w:val="20"/>
          <w:lang w:val="en"/>
        </w:rPr>
        <w:t>knockout stages in</w:t>
      </w:r>
      <w:r>
        <w:rPr>
          <w:sz w:val="20"/>
          <w:szCs w:val="20"/>
          <w:lang w:val="en"/>
        </w:rPr>
        <w:t xml:space="preserve"> 2020 at the Estadio Alejandro Morera Soto (20 Feb 2020).</w:t>
      </w:r>
    </w:p>
    <w:p w14:paraId="1A2DEB7C" w14:textId="39DAA71B" w:rsidR="0015461B" w:rsidRPr="00C72C0C" w:rsidRDefault="00E21D9F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DEFEAT WITH MOST GOALS</w:t>
      </w:r>
      <w:r w:rsidR="00E758EE">
        <w:rPr>
          <w:b/>
          <w:sz w:val="20"/>
          <w:szCs w:val="20"/>
          <w:lang w:val="en"/>
        </w:rPr>
        <w:t xml:space="preserve"> AGAINST:</w:t>
      </w:r>
      <w:r w:rsidR="00E758EE">
        <w:rPr>
          <w:sz w:val="20"/>
          <w:szCs w:val="20"/>
          <w:lang w:val="en"/>
        </w:rPr>
        <w:t xml:space="preserve"> 4-0 vs. Tigres UANL (MEX) in the 2020 Concacaf Champions League.</w:t>
      </w:r>
    </w:p>
    <w:p w14:paraId="6EAFB442" w14:textId="77777777" w:rsidR="0015461B" w:rsidRDefault="00E758EE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DEFINITIONS: </w:t>
      </w:r>
      <w:r>
        <w:rPr>
          <w:sz w:val="20"/>
          <w:szCs w:val="20"/>
          <w:lang w:val="en"/>
        </w:rPr>
        <w:t xml:space="preserve">(0).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>0.</w:t>
      </w:r>
    </w:p>
    <w:p w14:paraId="65A33B5D" w14:textId="69FDABC3" w:rsidR="0015461B" w:rsidRPr="00C72C0C" w:rsidRDefault="00B378D1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R</w:t>
      </w:r>
      <w:r w:rsidR="00E758EE">
        <w:rPr>
          <w:b/>
          <w:sz w:val="20"/>
          <w:szCs w:val="20"/>
          <w:lang w:val="en"/>
        </w:rPr>
        <w:t xml:space="preserve">ecords 2 games with </w:t>
      </w:r>
      <w:r>
        <w:rPr>
          <w:b/>
          <w:sz w:val="20"/>
          <w:szCs w:val="20"/>
          <w:lang w:val="en"/>
        </w:rPr>
        <w:t xml:space="preserve">a goal </w:t>
      </w:r>
      <w:r w:rsidR="00E758EE">
        <w:rPr>
          <w:b/>
          <w:sz w:val="20"/>
          <w:szCs w:val="20"/>
          <w:lang w:val="en"/>
        </w:rPr>
        <w:t>score</w:t>
      </w:r>
      <w:r>
        <w:rPr>
          <w:b/>
          <w:sz w:val="20"/>
          <w:szCs w:val="20"/>
          <w:lang w:val="en"/>
        </w:rPr>
        <w:t>d</w:t>
      </w:r>
      <w:r w:rsidR="00E758EE">
        <w:rPr>
          <w:b/>
          <w:sz w:val="20"/>
          <w:szCs w:val="20"/>
          <w:lang w:val="en"/>
        </w:rPr>
        <w:t xml:space="preserve">, 2 matches in which </w:t>
      </w:r>
      <w:r>
        <w:rPr>
          <w:b/>
          <w:sz w:val="20"/>
          <w:szCs w:val="20"/>
          <w:lang w:val="en"/>
        </w:rPr>
        <w:t>t</w:t>
      </w:r>
      <w:r w:rsidR="00E758EE">
        <w:rPr>
          <w:b/>
          <w:sz w:val="20"/>
          <w:szCs w:val="20"/>
          <w:lang w:val="en"/>
        </w:rPr>
        <w:t>he</w:t>
      </w:r>
      <w:r>
        <w:rPr>
          <w:b/>
          <w:sz w:val="20"/>
          <w:szCs w:val="20"/>
          <w:lang w:val="en"/>
        </w:rPr>
        <w:t>y</w:t>
      </w:r>
      <w:r w:rsidR="00E758EE">
        <w:rPr>
          <w:b/>
          <w:sz w:val="20"/>
          <w:szCs w:val="20"/>
          <w:lang w:val="en"/>
        </w:rPr>
        <w:t xml:space="preserve"> could not score, 1 </w:t>
      </w:r>
      <w:r>
        <w:rPr>
          <w:b/>
          <w:sz w:val="20"/>
          <w:szCs w:val="20"/>
          <w:lang w:val="en"/>
        </w:rPr>
        <w:t>clean sheet</w:t>
      </w:r>
      <w:r w:rsidR="00E758EE">
        <w:rPr>
          <w:b/>
          <w:sz w:val="20"/>
          <w:szCs w:val="20"/>
          <w:lang w:val="en"/>
        </w:rPr>
        <w:t>, 3 matches with goals received and 0 results 0-0.</w:t>
      </w:r>
    </w:p>
    <w:p w14:paraId="4229547F" w14:textId="050ABB8B" w:rsidR="0015461B" w:rsidRDefault="00E21D9F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E758EE">
        <w:rPr>
          <w:b/>
          <w:sz w:val="20"/>
          <w:szCs w:val="20"/>
          <w:lang w:val="en"/>
        </w:rPr>
        <w:t xml:space="preserve">IN THE FIRST LEG GAMES IN THE KO PHASE OF SCCL: </w:t>
      </w:r>
      <w:r w:rsidR="00B378D1">
        <w:rPr>
          <w:sz w:val="20"/>
          <w:szCs w:val="20"/>
          <w:lang w:val="en"/>
        </w:rPr>
        <w:t>GP</w:t>
      </w:r>
      <w:r w:rsidR="00E758EE">
        <w:rPr>
          <w:sz w:val="20"/>
          <w:szCs w:val="20"/>
          <w:lang w:val="en"/>
        </w:rPr>
        <w:t xml:space="preserve">-2 </w:t>
      </w:r>
      <w:r w:rsidR="00B378D1">
        <w:rPr>
          <w:sz w:val="20"/>
          <w:szCs w:val="20"/>
          <w:lang w:val="en"/>
        </w:rPr>
        <w:t>W</w:t>
      </w:r>
      <w:r w:rsidR="00E758EE">
        <w:rPr>
          <w:sz w:val="20"/>
          <w:szCs w:val="20"/>
          <w:lang w:val="en"/>
        </w:rPr>
        <w:t xml:space="preserve">-1 </w:t>
      </w:r>
      <w:r w:rsidR="00B378D1">
        <w:rPr>
          <w:sz w:val="20"/>
          <w:szCs w:val="20"/>
          <w:lang w:val="en"/>
        </w:rPr>
        <w:t>T</w:t>
      </w:r>
      <w:r w:rsidR="00E758EE">
        <w:rPr>
          <w:sz w:val="20"/>
          <w:szCs w:val="20"/>
          <w:lang w:val="en"/>
        </w:rPr>
        <w:t xml:space="preserve">-0 </w:t>
      </w:r>
      <w:r w:rsidR="00B378D1">
        <w:rPr>
          <w:sz w:val="20"/>
          <w:szCs w:val="20"/>
          <w:lang w:val="en"/>
        </w:rPr>
        <w:t>L</w:t>
      </w:r>
      <w:r w:rsidR="00E758EE">
        <w:rPr>
          <w:sz w:val="20"/>
          <w:szCs w:val="20"/>
          <w:lang w:val="en"/>
        </w:rPr>
        <w:t>-1. Total: 50% efficacy.</w:t>
      </w:r>
    </w:p>
    <w:p w14:paraId="469B73B0" w14:textId="77777777" w:rsidR="0015461B" w:rsidRDefault="0015461B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54B201D3" w14:textId="10529291" w:rsidR="0015461B" w:rsidRDefault="0015461B">
      <w:pPr>
        <w:spacing w:line="240" w:lineRule="auto"/>
        <w:ind w:right="19"/>
        <w:rPr>
          <w:rFonts w:ascii="Poppins" w:eastAsia="Poppins" w:hAnsi="Poppins" w:cs="Poppins"/>
          <w:sz w:val="20"/>
          <w:szCs w:val="20"/>
        </w:rPr>
      </w:pPr>
    </w:p>
    <w:sectPr w:rsidR="0015461B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8EFD3" w14:textId="77777777" w:rsidR="00576B09" w:rsidRDefault="00576B09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C631F1A" w14:textId="77777777" w:rsidR="00576B09" w:rsidRDefault="00576B09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69B89" w14:textId="77777777" w:rsidR="00576B09" w:rsidRDefault="00576B09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7887DEDD" w14:textId="77777777" w:rsidR="00576B09" w:rsidRDefault="00576B09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C8F"/>
    <w:multiLevelType w:val="multilevel"/>
    <w:tmpl w:val="B20E719C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C4F29"/>
    <w:multiLevelType w:val="multilevel"/>
    <w:tmpl w:val="1D8E298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3813B2"/>
    <w:multiLevelType w:val="multilevel"/>
    <w:tmpl w:val="8200CB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1B"/>
    <w:rsid w:val="00042083"/>
    <w:rsid w:val="0015461B"/>
    <w:rsid w:val="00343D57"/>
    <w:rsid w:val="00513490"/>
    <w:rsid w:val="005726CF"/>
    <w:rsid w:val="00576B09"/>
    <w:rsid w:val="005B3208"/>
    <w:rsid w:val="007564E0"/>
    <w:rsid w:val="008B0211"/>
    <w:rsid w:val="00901E0E"/>
    <w:rsid w:val="00B378D1"/>
    <w:rsid w:val="00C72C0C"/>
    <w:rsid w:val="00E21D9F"/>
    <w:rsid w:val="00E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CEA4C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E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0E"/>
  </w:style>
  <w:style w:type="paragraph" w:styleId="Footer">
    <w:name w:val="footer"/>
    <w:basedOn w:val="Normal"/>
    <w:link w:val="FooterChar"/>
    <w:uiPriority w:val="99"/>
    <w:unhideWhenUsed/>
    <w:rsid w:val="00901E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0E"/>
  </w:style>
  <w:style w:type="character" w:styleId="PlaceholderText">
    <w:name w:val="Placeholder Text"/>
    <w:basedOn w:val="DefaultParagraphFont"/>
    <w:uiPriority w:val="99"/>
    <w:semiHidden/>
    <w:rsid w:val="00B37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Rene Rodriguez</cp:lastModifiedBy>
  <cp:revision>2</cp:revision>
  <dcterms:created xsi:type="dcterms:W3CDTF">2022-02-04T14:24:00Z</dcterms:created>
  <dcterms:modified xsi:type="dcterms:W3CDTF">2022-02-09T20:42:00Z</dcterms:modified>
  <cp:category/>
</cp:coreProperties>
</file>